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18" w:lineRule="atLeast"/>
        <w:ind w:left="0" w:right="0" w:firstLine="420"/>
        <w:jc w:val="center"/>
      </w:pPr>
      <w:bookmarkStart w:id="0" w:name="_GoBack"/>
      <w:r>
        <w:rPr>
          <w:rFonts w:hint="eastAsia" w:ascii="宋体" w:hAnsi="宋体" w:eastAsia="宋体" w:cs="宋体"/>
          <w:b/>
          <w:bCs/>
          <w:i w:val="0"/>
          <w:iCs w:val="0"/>
          <w:color w:val="000000"/>
          <w:spacing w:val="0"/>
          <w:w w:val="100"/>
          <w:sz w:val="44"/>
          <w:szCs w:val="44"/>
          <w:vertAlign w:val="baseline"/>
        </w:rPr>
        <w:t>第三方对接随车车意险配置流程手册</w:t>
      </w:r>
      <w:bookmarkEnd w:id="0"/>
      <w:r>
        <w:rPr>
          <w:rFonts w:hint="eastAsia" w:ascii="宋体" w:hAnsi="宋体" w:eastAsia="宋体" w:cs="宋体"/>
          <w:b/>
          <w:bCs/>
          <w:i w:val="0"/>
          <w:iCs w:val="0"/>
          <w:color w:val="000000"/>
          <w:spacing w:val="0"/>
          <w:w w:val="100"/>
          <w:sz w:val="44"/>
          <w:szCs w:val="44"/>
          <w:vertAlign w:val="baseline"/>
        </w:rPr>
        <w:t> </w:t>
      </w:r>
    </w:p>
    <w:p>
      <w:pPr>
        <w:pStyle w:val="2"/>
        <w:keepNext w:val="0"/>
        <w:keepLines w:val="0"/>
        <w:widowControl/>
        <w:suppressLineNumbers w:val="0"/>
        <w:spacing w:before="0" w:beforeAutospacing="0" w:after="0" w:afterAutospacing="0" w:line="18" w:lineRule="atLeast"/>
        <w:ind w:left="0" w:right="0" w:firstLine="420"/>
        <w:jc w:val="left"/>
      </w:pPr>
      <w:r>
        <w:rPr>
          <w:rFonts w:ascii="仿宋_GB2312" w:eastAsia="仿宋_GB2312" w:cs="仿宋_GB2312"/>
          <w:b w:val="0"/>
          <w:bCs w:val="0"/>
          <w:i w:val="0"/>
          <w:iCs w:val="0"/>
          <w:color w:val="000000"/>
          <w:spacing w:val="0"/>
          <w:w w:val="100"/>
          <w:sz w:val="28"/>
          <w:szCs w:val="28"/>
          <w:vertAlign w:val="baseline"/>
        </w:rPr>
        <w:t>为解决第三方系统对接中随车车意险出单后在核心显示为单独出单的问题，总公司已联系信息技术部开发并上线相关功能，确保第三方对接随车车意险合并出单顺利取费报价。</w:t>
      </w:r>
    </w:p>
    <w:p>
      <w:pPr>
        <w:pStyle w:val="2"/>
        <w:keepNext w:val="0"/>
        <w:keepLines w:val="0"/>
        <w:widowControl/>
        <w:suppressLineNumbers w:val="0"/>
        <w:spacing w:before="0" w:beforeAutospacing="0" w:after="0" w:afterAutospacing="0" w:line="18" w:lineRule="atLeast"/>
        <w:ind w:left="0" w:right="0" w:firstLine="420"/>
        <w:jc w:val="left"/>
      </w:pPr>
      <w:r>
        <w:rPr>
          <w:rFonts w:hint="default" w:ascii="仿宋_GB2312" w:eastAsia="仿宋_GB2312" w:cs="仿宋_GB2312"/>
          <w:b w:val="0"/>
          <w:bCs w:val="0"/>
          <w:i w:val="0"/>
          <w:iCs w:val="0"/>
          <w:color w:val="000000"/>
          <w:spacing w:val="0"/>
          <w:w w:val="100"/>
          <w:sz w:val="28"/>
          <w:szCs w:val="28"/>
          <w:vertAlign w:val="baseline"/>
        </w:rPr>
        <w:t>为确保机构顺利使用该功能，需在生命表系统中车意险产品进行产品配置，具体详见操作手册。</w:t>
      </w:r>
    </w:p>
    <w:p>
      <w:pPr>
        <w:pStyle w:val="2"/>
        <w:keepNext w:val="0"/>
        <w:keepLines w:val="0"/>
        <w:widowControl/>
        <w:suppressLineNumbers w:val="0"/>
        <w:spacing w:before="0" w:beforeAutospacing="0" w:after="0" w:afterAutospacing="0" w:line="18" w:lineRule="atLeast"/>
        <w:ind w:left="0" w:right="0" w:firstLine="420"/>
        <w:jc w:val="left"/>
      </w:pPr>
      <w:r>
        <w:rPr>
          <w:rFonts w:hint="default" w:ascii="仿宋_GB2312" w:eastAsia="仿宋_GB2312" w:cs="仿宋_GB2312"/>
          <w:b w:val="0"/>
          <w:bCs w:val="0"/>
          <w:i w:val="0"/>
          <w:iCs w:val="0"/>
          <w:color w:val="000000"/>
          <w:spacing w:val="0"/>
          <w:w w:val="100"/>
          <w:sz w:val="28"/>
          <w:szCs w:val="28"/>
          <w:vertAlign w:val="baseline"/>
        </w:rPr>
        <w:t>产品配置维度为</w:t>
      </w:r>
      <w:r>
        <w:rPr>
          <w:rFonts w:hint="default" w:ascii="仿宋_GB2312" w:eastAsia="仿宋_GB2312" w:cs="仿宋_GB2312"/>
          <w:b/>
          <w:bCs/>
          <w:i w:val="0"/>
          <w:iCs w:val="0"/>
          <w:color w:val="000000"/>
          <w:spacing w:val="0"/>
          <w:w w:val="100"/>
          <w:sz w:val="28"/>
          <w:szCs w:val="28"/>
          <w:vertAlign w:val="baseline"/>
        </w:rPr>
        <w:t>二级机构+出单渠道</w:t>
      </w:r>
      <w:r>
        <w:rPr>
          <w:rFonts w:hint="default" w:ascii="仿宋_GB2312" w:eastAsia="仿宋_GB2312" w:cs="仿宋_GB2312"/>
          <w:b w:val="0"/>
          <w:bCs w:val="0"/>
          <w:i w:val="0"/>
          <w:iCs w:val="0"/>
          <w:color w:val="000000"/>
          <w:spacing w:val="0"/>
          <w:w w:val="100"/>
          <w:sz w:val="28"/>
          <w:szCs w:val="28"/>
          <w:vertAlign w:val="baseline"/>
        </w:rPr>
        <w:t>，如山东分公司+一汽红旗系统。</w:t>
      </w:r>
    </w:p>
    <w:p>
      <w:pPr>
        <w:pStyle w:val="2"/>
        <w:keepNext w:val="0"/>
        <w:keepLines w:val="0"/>
        <w:widowControl/>
        <w:suppressLineNumbers w:val="0"/>
        <w:spacing w:before="0" w:beforeAutospacing="0" w:after="0" w:afterAutospacing="0" w:line="18" w:lineRule="atLeast"/>
        <w:ind w:left="0" w:right="0" w:firstLine="420"/>
        <w:jc w:val="left"/>
      </w:pPr>
      <w:r>
        <w:rPr>
          <w:rFonts w:hint="default" w:ascii="仿宋_GB2312" w:eastAsia="仿宋_GB2312" w:cs="仿宋_GB2312"/>
          <w:b w:val="0"/>
          <w:bCs w:val="0"/>
          <w:i w:val="0"/>
          <w:iCs w:val="0"/>
          <w:color w:val="000000"/>
          <w:spacing w:val="0"/>
          <w:w w:val="100"/>
          <w:sz w:val="28"/>
          <w:szCs w:val="28"/>
          <w:vertAlign w:val="baseline"/>
        </w:rPr>
        <w:t>请机构尽快参照操作手册完成配置后，</w:t>
      </w:r>
      <w:r>
        <w:rPr>
          <w:rFonts w:hint="default" w:ascii="仿宋_GB2312" w:eastAsia="仿宋_GB2312" w:cs="仿宋_GB2312"/>
          <w:b/>
          <w:bCs/>
          <w:i w:val="0"/>
          <w:iCs w:val="0"/>
          <w:color w:val="000000"/>
          <w:spacing w:val="0"/>
          <w:w w:val="100"/>
          <w:sz w:val="28"/>
          <w:szCs w:val="28"/>
          <w:vertAlign w:val="baseline"/>
        </w:rPr>
        <w:t>报送总公司车商客户部邵惠丽开通当地分公司权限</w:t>
      </w:r>
      <w:r>
        <w:rPr>
          <w:rFonts w:hint="default" w:ascii="仿宋_GB2312" w:eastAsia="仿宋_GB2312" w:cs="仿宋_GB2312"/>
          <w:b w:val="0"/>
          <w:bCs w:val="0"/>
          <w:i w:val="0"/>
          <w:iCs w:val="0"/>
          <w:color w:val="000000"/>
          <w:spacing w:val="0"/>
          <w:w w:val="100"/>
          <w:sz w:val="28"/>
          <w:szCs w:val="28"/>
          <w:vertAlign w:val="baseline"/>
        </w:rPr>
        <w:t>。</w:t>
      </w:r>
    </w:p>
    <w:p>
      <w:pPr>
        <w:pStyle w:val="2"/>
        <w:keepNext w:val="0"/>
        <w:keepLines w:val="0"/>
        <w:widowControl/>
        <w:suppressLineNumbers w:val="0"/>
        <w:spacing w:before="0" w:beforeAutospacing="0" w:after="0" w:afterAutospacing="0" w:line="18" w:lineRule="atLeast"/>
        <w:ind w:left="0" w:right="0" w:firstLine="420"/>
        <w:jc w:val="both"/>
      </w:pPr>
      <w:r>
        <w:rPr>
          <w:rFonts w:hint="default" w:ascii="仿宋_GB2312" w:eastAsia="仿宋_GB2312" w:cs="仿宋_GB2312"/>
          <w:b w:val="0"/>
          <w:bCs w:val="0"/>
          <w:i w:val="0"/>
          <w:iCs w:val="0"/>
          <w:color w:val="000000"/>
          <w:spacing w:val="0"/>
          <w:w w:val="100"/>
          <w:sz w:val="28"/>
          <w:szCs w:val="28"/>
          <w:vertAlign w:val="baseline"/>
        </w:rPr>
        <w:t>具体操作流程如下：</w:t>
      </w:r>
    </w:p>
    <w:p>
      <w:pPr>
        <w:pStyle w:val="2"/>
        <w:keepNext w:val="0"/>
        <w:keepLines w:val="0"/>
        <w:widowControl/>
        <w:suppressLineNumbers w:val="0"/>
        <w:spacing w:before="0" w:beforeAutospacing="0" w:after="0" w:afterAutospacing="0" w:line="18" w:lineRule="atLeast"/>
        <w:ind w:left="420" w:right="0"/>
        <w:jc w:val="both"/>
      </w:pPr>
      <w:r>
        <w:rPr>
          <w:rFonts w:hint="default" w:ascii="仿宋_GB2312" w:eastAsia="仿宋_GB2312" w:cs="仿宋_GB2312"/>
          <w:b w:val="0"/>
          <w:bCs w:val="0"/>
          <w:i w:val="0"/>
          <w:iCs w:val="0"/>
          <w:color w:val="000000"/>
          <w:spacing w:val="0"/>
          <w:w w:val="100"/>
          <w:sz w:val="28"/>
          <w:szCs w:val="28"/>
          <w:vertAlign w:val="baseline"/>
        </w:rPr>
        <w:t>1.登录生命表系统；</w:t>
      </w:r>
    </w:p>
    <w:p>
      <w:pPr>
        <w:pStyle w:val="2"/>
        <w:keepNext w:val="0"/>
        <w:keepLines w:val="0"/>
        <w:widowControl/>
        <w:suppressLineNumbers w:val="0"/>
        <w:spacing w:before="0" w:beforeAutospacing="0" w:after="0" w:afterAutospacing="0" w:line="18" w:lineRule="atLeast"/>
        <w:ind w:left="420" w:right="0"/>
        <w:jc w:val="both"/>
      </w:pPr>
      <w:r>
        <w:drawing>
          <wp:inline distT="0" distB="0" distL="114300" distR="114300">
            <wp:extent cx="5486400" cy="2276475"/>
            <wp:effectExtent l="0" t="0" r="0" b="952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5486400" cy="2276475"/>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18" w:lineRule="atLeast"/>
        <w:ind w:left="0" w:right="0" w:firstLine="420"/>
        <w:jc w:val="left"/>
      </w:pPr>
      <w:r>
        <w:rPr>
          <w:rFonts w:hint="default" w:ascii="仿宋_GB2312" w:eastAsia="仿宋_GB2312" w:cs="仿宋_GB2312"/>
          <w:b w:val="0"/>
          <w:bCs w:val="0"/>
          <w:i w:val="0"/>
          <w:iCs w:val="0"/>
          <w:color w:val="000000"/>
          <w:spacing w:val="0"/>
          <w:w w:val="100"/>
          <w:sz w:val="28"/>
          <w:szCs w:val="28"/>
          <w:vertAlign w:val="baseline"/>
        </w:rPr>
        <w:t>2.点击模板下载，以二级机构为维度按模板填写需合并报价的非车产品信息；</w:t>
      </w:r>
    </w:p>
    <w:p>
      <w:pPr>
        <w:pStyle w:val="2"/>
        <w:keepNext w:val="0"/>
        <w:keepLines w:val="0"/>
        <w:widowControl/>
        <w:suppressLineNumbers w:val="0"/>
        <w:spacing w:before="0" w:beforeAutospacing="0" w:after="0" w:afterAutospacing="0" w:line="18" w:lineRule="atLeast"/>
        <w:ind w:left="420" w:right="0"/>
        <w:jc w:val="both"/>
      </w:pPr>
      <w:r>
        <w:drawing>
          <wp:inline distT="0" distB="0" distL="114300" distR="114300">
            <wp:extent cx="5486400" cy="2590800"/>
            <wp:effectExtent l="0" t="0" r="0" b="0"/>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5486400" cy="2590800"/>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18" w:lineRule="atLeast"/>
        <w:ind w:left="0" w:right="0" w:firstLine="420"/>
        <w:jc w:val="left"/>
      </w:pPr>
      <w:r>
        <w:rPr>
          <w:rFonts w:hint="default" w:ascii="仿宋_GB2312" w:eastAsia="仿宋_GB2312" w:cs="仿宋_GB2312"/>
          <w:b w:val="0"/>
          <w:bCs w:val="0"/>
          <w:i w:val="0"/>
          <w:iCs w:val="0"/>
          <w:color w:val="000000"/>
          <w:spacing w:val="0"/>
          <w:w w:val="100"/>
          <w:sz w:val="28"/>
          <w:szCs w:val="28"/>
          <w:vertAlign w:val="baseline"/>
        </w:rPr>
        <w:t>3.模板填写完成后，二级机构按照区域划分发送至总公司车险部</w:t>
      </w:r>
      <w:r>
        <w:rPr>
          <w:rFonts w:hint="default" w:ascii="仿宋_GB2312" w:eastAsia="仿宋_GB2312" w:cs="仿宋_GB2312"/>
          <w:b/>
          <w:bCs/>
          <w:i w:val="0"/>
          <w:iCs w:val="0"/>
          <w:color w:val="000000"/>
          <w:spacing w:val="0"/>
          <w:w w:val="100"/>
          <w:sz w:val="28"/>
          <w:szCs w:val="28"/>
          <w:vertAlign w:val="baseline"/>
        </w:rPr>
        <w:t>赵曼曼老师</w:t>
      </w:r>
      <w:r>
        <w:rPr>
          <w:rFonts w:hint="default" w:ascii="仿宋_GB2312" w:eastAsia="仿宋_GB2312" w:cs="仿宋_GB2312"/>
          <w:b w:val="0"/>
          <w:bCs w:val="0"/>
          <w:i w:val="0"/>
          <w:iCs w:val="0"/>
          <w:color w:val="000000"/>
          <w:spacing w:val="0"/>
          <w:w w:val="100"/>
          <w:sz w:val="28"/>
          <w:szCs w:val="28"/>
          <w:vertAlign w:val="baseline"/>
        </w:rPr>
        <w:t>，由总公司车险部导入；</w:t>
      </w:r>
    </w:p>
    <w:p>
      <w:pPr>
        <w:pStyle w:val="2"/>
        <w:keepNext w:val="0"/>
        <w:keepLines w:val="0"/>
        <w:widowControl/>
        <w:suppressLineNumbers w:val="0"/>
        <w:spacing w:before="0" w:beforeAutospacing="0" w:after="0" w:afterAutospacing="0" w:line="18" w:lineRule="atLeast"/>
        <w:ind w:left="420" w:right="0"/>
        <w:jc w:val="both"/>
      </w:pPr>
      <w:r>
        <w:drawing>
          <wp:inline distT="0" distB="0" distL="114300" distR="114300">
            <wp:extent cx="5486400" cy="1838325"/>
            <wp:effectExtent l="0" t="0" r="0" b="5715"/>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6"/>
                    <a:stretch>
                      <a:fillRect/>
                    </a:stretch>
                  </pic:blipFill>
                  <pic:spPr>
                    <a:xfrm>
                      <a:off x="0" y="0"/>
                      <a:ext cx="5486400" cy="1838325"/>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18" w:lineRule="atLeast"/>
        <w:ind w:left="0" w:right="0" w:firstLine="420"/>
        <w:jc w:val="left"/>
      </w:pPr>
      <w:r>
        <w:rPr>
          <w:rFonts w:hint="default" w:ascii="仿宋_GB2312" w:eastAsia="仿宋_GB2312" w:cs="仿宋_GB2312"/>
          <w:b w:val="0"/>
          <w:bCs w:val="0"/>
          <w:i w:val="0"/>
          <w:iCs w:val="0"/>
          <w:color w:val="000000"/>
          <w:spacing w:val="0"/>
          <w:w w:val="100"/>
          <w:sz w:val="28"/>
          <w:szCs w:val="28"/>
          <w:vertAlign w:val="baseline"/>
        </w:rPr>
        <w:t>4.导入成功后，按照下图，根据三方对接渠道、机构进行产品查询，核实导入结果；</w:t>
      </w:r>
    </w:p>
    <w:p>
      <w:pPr>
        <w:pStyle w:val="2"/>
        <w:keepNext w:val="0"/>
        <w:keepLines w:val="0"/>
        <w:widowControl/>
        <w:suppressLineNumbers w:val="0"/>
        <w:spacing w:before="0" w:beforeAutospacing="0" w:after="0" w:afterAutospacing="0" w:line="18" w:lineRule="atLeast"/>
        <w:ind w:left="420" w:right="0"/>
        <w:jc w:val="both"/>
      </w:pPr>
      <w:r>
        <w:drawing>
          <wp:inline distT="0" distB="0" distL="114300" distR="114300">
            <wp:extent cx="5486400" cy="2390775"/>
            <wp:effectExtent l="0" t="0" r="0" b="1905"/>
            <wp:docPr id="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9"/>
                    <pic:cNvPicPr>
                      <a:picLocks noChangeAspect="1"/>
                    </pic:cNvPicPr>
                  </pic:nvPicPr>
                  <pic:blipFill>
                    <a:blip r:embed="rId7"/>
                    <a:stretch>
                      <a:fillRect/>
                    </a:stretch>
                  </pic:blipFill>
                  <pic:spPr>
                    <a:xfrm>
                      <a:off x="0" y="0"/>
                      <a:ext cx="5486400" cy="2390775"/>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18" w:lineRule="atLeast"/>
        <w:ind w:left="0" w:right="0" w:firstLine="420"/>
        <w:jc w:val="left"/>
      </w:pPr>
      <w:r>
        <w:rPr>
          <w:rFonts w:hint="default" w:ascii="仿宋_GB2312" w:eastAsia="仿宋_GB2312" w:cs="仿宋_GB2312"/>
          <w:b w:val="0"/>
          <w:bCs w:val="0"/>
          <w:i w:val="0"/>
          <w:iCs w:val="0"/>
          <w:color w:val="000000"/>
          <w:spacing w:val="0"/>
          <w:w w:val="100"/>
          <w:sz w:val="28"/>
          <w:szCs w:val="28"/>
          <w:vertAlign w:val="baseline"/>
        </w:rPr>
        <w:t>5.核查无误后，二级机构需联系邵惠丽告知生命表配置的产品、机构及渠道，由于是首次配置，需邵惠丽联系技术测试环境验证无误后方可上线；</w:t>
      </w:r>
    </w:p>
    <w:p>
      <w:pPr>
        <w:pStyle w:val="2"/>
        <w:keepNext w:val="0"/>
        <w:keepLines w:val="0"/>
        <w:widowControl/>
        <w:suppressLineNumbers w:val="0"/>
        <w:spacing w:before="0" w:beforeAutospacing="0" w:after="0" w:afterAutospacing="0" w:line="18" w:lineRule="atLeast"/>
        <w:ind w:left="0" w:right="0" w:firstLine="420"/>
        <w:jc w:val="left"/>
      </w:pPr>
      <w:r>
        <w:rPr>
          <w:rFonts w:hint="default" w:ascii="仿宋_GB2312" w:eastAsia="仿宋_GB2312" w:cs="仿宋_GB2312"/>
          <w:b w:val="0"/>
          <w:bCs w:val="0"/>
          <w:i w:val="0"/>
          <w:iCs w:val="0"/>
          <w:color w:val="000000"/>
          <w:spacing w:val="0"/>
          <w:w w:val="100"/>
          <w:sz w:val="28"/>
          <w:szCs w:val="28"/>
          <w:vertAlign w:val="baseline"/>
        </w:rPr>
        <w:t>6.产品配置上线后，在第三方出单系统体现为产品名称后加【合并报价产品】字样，如同一产品同时配置了非合并报价和合并报价，那将只保留合并报价；出单时需选择该类驾乘产品将走合并算价生命表逻辑。</w:t>
      </w:r>
    </w:p>
    <w:p>
      <w:pPr>
        <w:pStyle w:val="2"/>
        <w:keepNext w:val="0"/>
        <w:keepLines w:val="0"/>
        <w:widowControl/>
        <w:suppressLineNumbers w:val="0"/>
        <w:spacing w:before="0" w:beforeAutospacing="0" w:after="0" w:afterAutospacing="0" w:line="18" w:lineRule="atLeast"/>
        <w:ind w:left="420" w:right="0"/>
        <w:jc w:val="both"/>
      </w:pPr>
      <w:r>
        <w:rPr>
          <w:rFonts w:ascii="Calibri" w:hAnsi="Calibri" w:cs="Calibri"/>
          <w:b w:val="0"/>
          <w:bCs w:val="0"/>
          <w:i w:val="0"/>
          <w:iCs w:val="0"/>
          <w:color w:val="000000"/>
          <w:spacing w:val="0"/>
          <w:w w:val="100"/>
          <w:sz w:val="28"/>
          <w:szCs w:val="28"/>
          <w:vertAlign w:val="baseline"/>
        </w:rPr>
        <w:t> </w:t>
      </w:r>
      <w:r>
        <w:drawing>
          <wp:inline distT="0" distB="0" distL="114300" distR="114300">
            <wp:extent cx="5362575" cy="1704975"/>
            <wp:effectExtent l="0" t="0" r="1905" b="1905"/>
            <wp:docPr id="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60"/>
                    <pic:cNvPicPr>
                      <a:picLocks noChangeAspect="1"/>
                    </pic:cNvPicPr>
                  </pic:nvPicPr>
                  <pic:blipFill>
                    <a:blip r:embed="rId8"/>
                    <a:stretch>
                      <a:fillRect/>
                    </a:stretch>
                  </pic:blipFill>
                  <pic:spPr>
                    <a:xfrm>
                      <a:off x="0" y="0"/>
                      <a:ext cx="5362575" cy="1704975"/>
                    </a:xfrm>
                    <a:prstGeom prst="rect">
                      <a:avLst/>
                    </a:prstGeom>
                    <a:noFill/>
                    <a:ln w="9525">
                      <a:noFill/>
                    </a:ln>
                  </pic:spPr>
                </pic:pic>
              </a:graphicData>
            </a:graphic>
          </wp:inline>
        </w:drawing>
      </w:r>
      <w:r>
        <w:rPr>
          <w:rFonts w:hint="default" w:ascii="Calibri" w:hAnsi="Calibri" w:cs="Calibri"/>
          <w:b w:val="0"/>
          <w:bCs w:val="0"/>
          <w:i w:val="0"/>
          <w:iCs w:val="0"/>
          <w:color w:val="000000"/>
          <w:spacing w:val="0"/>
          <w:w w:val="100"/>
          <w:sz w:val="28"/>
          <w:szCs w:val="28"/>
          <w:vertAlign w:val="baseline"/>
        </w:rPr>
        <w:t> </w:t>
      </w:r>
    </w:p>
    <w:p>
      <w:pPr>
        <w:pStyle w:val="2"/>
        <w:keepNext w:val="0"/>
        <w:keepLines w:val="0"/>
        <w:widowControl/>
        <w:suppressLineNumbers w:val="0"/>
        <w:spacing w:before="60" w:beforeAutospacing="0" w:after="60" w:afterAutospacing="0" w:line="16" w:lineRule="atLeast"/>
        <w:ind w:left="0" w:right="0"/>
        <w:jc w:val="left"/>
      </w:pPr>
      <w:r>
        <w:rPr>
          <w:rFonts w:hint="default" w:ascii="仿宋_GB2312" w:eastAsia="仿宋_GB2312" w:cs="仿宋_GB2312"/>
          <w:b w:val="0"/>
          <w:bCs w:val="0"/>
          <w:i w:val="0"/>
          <w:iCs w:val="0"/>
          <w:color w:val="000000"/>
          <w:spacing w:val="0"/>
          <w:w w:val="100"/>
          <w:sz w:val="28"/>
          <w:szCs w:val="28"/>
          <w:vertAlign w:val="baseline"/>
        </w:rPr>
        <w:t>7.对于首次配置的机构，建议出单后通过费用或成本率验证下是否走的合并算价，如有任何问题请联系邵惠丽反馈。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7D3A7AA9"/>
    <w:rsid w:val="5EEF11CE"/>
    <w:rsid w:val="7D3A7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2024-06-26T04:12:00Z</dcterms:created>
  <dc:creator>西晓彬</dc:creator>
  <cp:lastModifiedBy>西晓彬</cp:lastModifiedBy>
  <dcterms:modified xsi:type="dcterms:W3CDTF">2024-06-26T04:15:00Z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9D8776657D3048C190E9C475CE1F2EAB_13</vt:lpwstr>
  </property>
</Properties>
</file>